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 </w:t>
      </w:r>
      <w:r>
        <w:rPr>
          <w:rFonts w:ascii="Times New Roman" w:hAnsi="Times New Roman"/>
          <w:sz w:val="28"/>
          <w:szCs w:val="28"/>
        </w:rPr>
        <w:t>ПОСТАНОВЛЕНИЯ</w:t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1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>«Об утверждении перечня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муниципальных услуг, предоставление которых посредством комплексного запроса не осуществляется»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В целях реализации п.13 </w:t>
      </w:r>
      <w:r>
        <w:rPr>
          <w:rStyle w:val="FontStyle24"/>
          <w:rFonts w:ascii="Times New Roman" w:hAnsi="Times New Roman"/>
          <w:b w:val="false"/>
          <w:sz w:val="28"/>
          <w:szCs w:val="28"/>
        </w:rPr>
        <w:t>ст.15.1 Федерального закона от 27 июля 2010 года 210-ФЗ «Об организации предоставления государственных и муниципальных   услуг»</w:t>
      </w:r>
      <w:r>
        <w:rPr>
          <w:rStyle w:val="FontStyle16"/>
          <w:b/>
          <w:sz w:val="28"/>
          <w:szCs w:val="28"/>
        </w:rPr>
        <w:t xml:space="preserve"> и </w:t>
      </w:r>
      <w:r>
        <w:rPr>
          <w:rFonts w:cs="Times New Roman" w:ascii="Times New Roman" w:hAnsi="Times New Roman"/>
          <w:b w:val="false"/>
          <w:sz w:val="28"/>
          <w:szCs w:val="28"/>
        </w:rPr>
        <w:t>Федерального закона от 29 декабря 2017 г. N 479-ФЗ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 администрация муниципального образования Кореновский район                                   п о с т а н о в л я е 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</w:t>
      </w:r>
      <w:r>
        <w:rPr>
          <w:bCs/>
          <w:sz w:val="28"/>
          <w:szCs w:val="28"/>
        </w:rPr>
        <w:t xml:space="preserve"> муниципальных услуг</w:t>
      </w:r>
      <w:r>
        <w:rPr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bCs/>
          <w:sz w:val="28"/>
          <w:szCs w:val="28"/>
        </w:rPr>
        <w:t xml:space="preserve">, предоставление которых посредством комплексного запроса не осуществляется </w:t>
      </w:r>
      <w:r>
        <w:rPr>
          <w:sz w:val="28"/>
          <w:szCs w:val="28"/>
        </w:rPr>
        <w:t>(приложение).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образования Кореновский район от 15 мая 2019 года № 613 «Об утверждении перечня</w:t>
      </w:r>
      <w:r>
        <w:rPr>
          <w:bCs/>
          <w:sz w:val="28"/>
          <w:szCs w:val="28"/>
        </w:rPr>
        <w:t xml:space="preserve"> муниципальных услуг, предоставление которых посредством комплексного запроса не осуществляется</w:t>
      </w:r>
      <w:r>
        <w:rPr>
          <w:b/>
          <w:bCs/>
          <w:sz w:val="28"/>
          <w:szCs w:val="28"/>
        </w:rPr>
        <w:t>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shd w:fill="FFFFFF" w:val="clear"/>
        </w:rPr>
      </w:pPr>
      <w:r>
        <w:rPr>
          <w:color w:val="000000"/>
          <w:sz w:val="28"/>
          <w:szCs w:val="28"/>
        </w:rPr>
        <w:t xml:space="preserve">опубликовать     официально     настоящее     постановление   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 администрации  муниципального  образования  Кореновский район.</w:t>
      </w:r>
    </w:p>
    <w:p>
      <w:pPr>
        <w:pStyle w:val="12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 Контроль за выполнением настоящего постановления возложить</w:t>
      </w:r>
      <w:r>
        <w:rPr>
          <w:rFonts w:eastAsia="Times New Roman" w:cs="Times New Roman"/>
          <w:sz w:val="28"/>
          <w:szCs w:val="28"/>
        </w:rPr>
        <w:t xml:space="preserve"> на 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С.В. Колупайко. </w:t>
      </w:r>
    </w:p>
    <w:p>
      <w:pPr>
        <w:pStyle w:val="12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Постановление вступает в силу после его официального опубликования.</w:t>
      </w:r>
    </w:p>
    <w:p>
      <w:pPr>
        <w:pStyle w:val="Style110"/>
        <w:widowControl/>
        <w:spacing w:lineRule="auto" w:line="240"/>
        <w:ind w:firstLine="709"/>
        <w:jc w:val="both"/>
        <w:rPr>
          <w:rFonts w:cs="Times New Roman"/>
        </w:rPr>
      </w:pPr>
      <w:r>
        <w:rPr>
          <w:rFonts w:cs="Times New Roman"/>
        </w:rPr>
      </w:r>
      <w:bookmarkStart w:id="0" w:name="_GoBack"/>
      <w:bookmarkStart w:id="1" w:name="_GoBack"/>
      <w:bookmarkEnd w:id="1"/>
    </w:p>
    <w:p>
      <w:pPr>
        <w:pStyle w:val="13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13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567" w:header="170" w:top="1134" w:footer="709" w:bottom="1134" w:gutter="0"/>
          <w:pgNumType w:fmt="decimal"/>
          <w:formProt w:val="false"/>
          <w:textDirection w:val="lrTb"/>
          <w:docGrid w:type="default" w:linePitch="360" w:charSpace="4294960946"/>
        </w:sect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Кореновский район                                                                       С.А. Голобородько </w:t>
      </w:r>
    </w:p>
    <w:p>
      <w:pPr>
        <w:pStyle w:val="1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1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от _______________   № _____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</w:t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ПЕРЕЧЕНЬ</w:t>
      </w:r>
    </w:p>
    <w:p>
      <w:pPr>
        <w:pStyle w:val="Style110"/>
        <w:widowControl/>
        <w:spacing w:lineRule="atLeast" w:line="10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услуг</w:t>
      </w:r>
      <w:r>
        <w:rPr>
          <w:b/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b/>
          <w:bCs/>
          <w:sz w:val="28"/>
          <w:szCs w:val="28"/>
        </w:rPr>
        <w:t>, предоставление которых посредством комплексного запроса не осуществляется</w:t>
      </w:r>
    </w:p>
    <w:p>
      <w:pPr>
        <w:pStyle w:val="Style110"/>
        <w:widowControl/>
        <w:spacing w:lineRule="atLeast" w:line="10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3"/>
        <w:spacing w:before="0" w:after="0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"/>
        <w:gridCol w:w="5851"/>
        <w:gridCol w:w="3108"/>
      </w:tblGrid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 (функции)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(исполнение) муниципальной услуги (функции)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ind w:firstLine="709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 и функциях,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(исполняемых) отраслевыми  (функциональными)    органами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Градостроительство</w:t>
            </w:r>
          </w:p>
          <w:p>
            <w:pPr>
              <w:pStyle w:val="12"/>
              <w:widowControl w:val="fals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строительство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ввод в эксплуатацию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Прием уведомлений о планируемом сносе объекта капитального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уведомлений о завершении сноса объекта капитального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решения об утверждении документации по планировке территории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Принятие решения о подготовке и утверждении документации по планировке территории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center"/>
              <w:rPr>
                <w:rStyle w:val="FontStyle16"/>
                <w:b w:val="false"/>
                <w:b w:val="false"/>
                <w:sz w:val="28"/>
                <w:szCs w:val="28"/>
              </w:rPr>
            </w:pPr>
            <w:r>
              <w:rPr>
                <w:rStyle w:val="FontStyle16"/>
                <w:b w:val="false"/>
                <w:sz w:val="28"/>
                <w:szCs w:val="28"/>
              </w:rPr>
              <w:t>Социальное обслуживание</w:t>
            </w:r>
          </w:p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Признание молодой семьи участником мероприятия по </w:t>
            </w:r>
            <w:r>
              <w:rPr>
                <w:rStyle w:val="FontStyle24"/>
                <w:bCs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Образование</w:t>
            </w:r>
          </w:p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25.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Style w:val="FontStyle19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</w:rPr>
              <w:t>Предоставления справок о пригодности жилого помещения для проживания участникам государственной программы РФ «Комплексное развитие сельских территорий»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муниципального образования Кореновский район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II</w:t>
            </w:r>
            <w:r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sz w:val="28"/>
                <w:szCs w:val="28"/>
              </w:rPr>
              <w:t xml:space="preserve">Сведения об </w:t>
            </w:r>
            <w:r>
              <w:rPr>
                <w:rFonts w:cs="Times New Roman"/>
                <w:sz w:val="28"/>
                <w:szCs w:val="28"/>
              </w:rPr>
              <w:t>услугах, оказываемых муниципальными учреждениями и другими организациями, в которых размещается муниципальное</w:t>
            </w:r>
          </w:p>
          <w:p>
            <w:pPr>
              <w:pStyle w:val="12"/>
              <w:widowControl w:val="false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задание (заказ)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16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2"/>
              <w:widowControl w:val="false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Снятие граждан, имеющих трех и более детей, с учета,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24"/>
              </w:rPr>
            </w:pPr>
            <w:r>
              <w:rPr>
                <w:rStyle w:val="FontStyle24"/>
              </w:rPr>
              <w:t>8.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24"/>
              </w:rPr>
            </w:pPr>
            <w:r>
              <w:rPr>
                <w:rStyle w:val="FontStyle24"/>
              </w:rPr>
              <w:t>9.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24"/>
              </w:rPr>
            </w:pPr>
            <w:r>
              <w:rPr>
                <w:rStyle w:val="FontStyle24"/>
              </w:rPr>
              <w:t>10.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24"/>
              </w:rPr>
            </w:pPr>
            <w:r>
              <w:rPr>
                <w:rStyle w:val="FontStyle24"/>
              </w:rPr>
              <w:t>11.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согласия на залог права аренды земельного участка, на перенаем или субаренду земельного участка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VI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 xml:space="preserve">услугах, в предоставлении которых участвуют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b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40" w:before="0" w:after="0"/>
              <w:rPr/>
            </w:pPr>
            <w:r>
              <w:rPr/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С.В. Колупайко</w:t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701" w:right="567" w:header="170" w:top="1134" w:footer="709" w:bottom="1134" w:gutter="0"/>
          <w:pgNumType w:fmt="decimal"/>
          <w:formProt w:val="false"/>
          <w:textDirection w:val="lrTb"/>
          <w:docGrid w:type="default" w:linePitch="360" w:charSpace="4294960946"/>
        </w:sect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701" w:right="567" w:header="170" w:top="1134" w:footer="709" w:bottom="1134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47d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link w:val="10"/>
    <w:qFormat/>
    <w:rsid w:val="004547d6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4547d6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FontStyle24" w:customStyle="1">
    <w:name w:val="Font Style24"/>
    <w:qFormat/>
    <w:rsid w:val="004547d6"/>
    <w:rPr>
      <w:rFonts w:cs="Times New Roman"/>
      <w:sz w:val="26"/>
      <w:szCs w:val="26"/>
    </w:rPr>
  </w:style>
  <w:style w:type="character" w:styleId="FontStyle16" w:customStyle="1">
    <w:name w:val="Font Style16"/>
    <w:qFormat/>
    <w:rsid w:val="004547d6"/>
    <w:rPr>
      <w:rFonts w:ascii="Times New Roman" w:hAnsi="Times New Roman" w:cs="Times New Roman"/>
      <w:b/>
      <w:bCs/>
      <w:sz w:val="26"/>
      <w:szCs w:val="26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4547d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Нижний колонтитул Знак"/>
    <w:basedOn w:val="DefaultParagraphFont"/>
    <w:qFormat/>
    <w:rsid w:val="004547d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21" w:customStyle="1">
    <w:name w:val="Font Style21"/>
    <w:uiPriority w:val="99"/>
    <w:qFormat/>
    <w:rsid w:val="00882bf4"/>
    <w:rPr>
      <w:rFonts w:ascii="Times New Roman" w:hAnsi="Times New Roman" w:cs="Times New Roman"/>
      <w:sz w:val="22"/>
      <w:szCs w:val="22"/>
    </w:rPr>
  </w:style>
  <w:style w:type="character" w:styleId="FontStyle19" w:customStyle="1">
    <w:name w:val="Font Style19"/>
    <w:qFormat/>
    <w:rsid w:val="00882bf4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f3177"/>
    <w:rPr>
      <w:rFonts w:ascii="Segoe UI" w:hAnsi="Segoe UI" w:eastAsia="Times New Roman" w:cs="Segoe UI"/>
      <w:sz w:val="18"/>
      <w:szCs w:val="18"/>
      <w:lang w:eastAsia="ru-RU"/>
    </w:rPr>
  </w:style>
  <w:style w:type="character" w:styleId="Style15" w:customStyle="1">
    <w:name w:val="Интернет-ссылка"/>
    <w:rsid w:val="004e7e13"/>
    <w:rPr>
      <w:color w:val="0000FF"/>
      <w:u w:val="single"/>
    </w:rPr>
  </w:style>
  <w:style w:type="character" w:styleId="WWAbsatzStandardschriftart" w:customStyle="1">
    <w:name w:val="WW-Absatz-Standardschriftart"/>
    <w:qFormat/>
    <w:rsid w:val="004c6435"/>
    <w:rPr/>
  </w:style>
  <w:style w:type="character" w:styleId="FontStyle31" w:customStyle="1">
    <w:name w:val="Font Style31"/>
    <w:qFormat/>
    <w:rsid w:val="004c6435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c6435"/>
    <w:rPr>
      <w:rFonts w:ascii="Times New Roman" w:hAnsi="Times New Roman" w:cs="Times New Roman"/>
      <w:sz w:val="26"/>
      <w:szCs w:val="26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 w:customStyle="1">
    <w:name w:val="Title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uiPriority w:val="99"/>
    <w:rsid w:val="004547d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rsid w:val="004547d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2" w:customStyle="1">
    <w:name w:val="Обычный1"/>
    <w:qFormat/>
    <w:rsid w:val="004547d6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DejaVu Sans" w:cs="Tahoma"/>
      <w:color w:val="00000A"/>
      <w:kern w:val="0"/>
      <w:sz w:val="24"/>
      <w:szCs w:val="24"/>
      <w:lang w:eastAsia="ru-RU" w:val="ru-RU" w:bidi="ar-SA"/>
    </w:rPr>
  </w:style>
  <w:style w:type="paragraph" w:styleId="13" w:customStyle="1">
    <w:name w:val="Обычный (веб)1"/>
    <w:basedOn w:val="12"/>
    <w:qFormat/>
    <w:rsid w:val="004547d6"/>
    <w:pPr>
      <w:spacing w:before="100" w:after="119"/>
    </w:pPr>
    <w:rPr/>
  </w:style>
  <w:style w:type="paragraph" w:styleId="Style110" w:customStyle="1">
    <w:name w:val="Style1"/>
    <w:basedOn w:val="12"/>
    <w:qFormat/>
    <w:rsid w:val="004547d6"/>
    <w:pPr>
      <w:spacing w:lineRule="exact" w:line="326"/>
      <w:jc w:val="center"/>
    </w:pPr>
    <w:rPr/>
  </w:style>
  <w:style w:type="paragraph" w:styleId="Western" w:customStyle="1">
    <w:name w:val="western"/>
    <w:basedOn w:val="12"/>
    <w:qFormat/>
    <w:rsid w:val="00882bf4"/>
    <w:pPr>
      <w:spacing w:before="100" w:after="119"/>
    </w:pPr>
    <w:rPr>
      <w:rFonts w:ascii="Calibri" w:hAnsi="Calibri" w:cs="Calibri"/>
      <w:color w:val="000000"/>
    </w:rPr>
  </w:style>
  <w:style w:type="paragraph" w:styleId="P6" w:customStyle="1">
    <w:name w:val="p6"/>
    <w:basedOn w:val="Normal"/>
    <w:qFormat/>
    <w:rsid w:val="002f3177"/>
    <w:pPr>
      <w:spacing w:before="0" w:after="280"/>
    </w:pPr>
    <w:rPr/>
  </w:style>
  <w:style w:type="paragraph" w:styleId="BalloonText">
    <w:name w:val="Balloon Text"/>
    <w:basedOn w:val="Normal"/>
    <w:uiPriority w:val="99"/>
    <w:semiHidden/>
    <w:unhideWhenUsed/>
    <w:qFormat/>
    <w:rsid w:val="002f3177"/>
    <w:pPr/>
    <w:rPr>
      <w:rFonts w:ascii="Segoe UI" w:hAnsi="Segoe UI" w:cs="Segoe UI"/>
      <w:sz w:val="18"/>
      <w:szCs w:val="18"/>
    </w:rPr>
  </w:style>
  <w:style w:type="paragraph" w:styleId="Style201" w:customStyle="1">
    <w:name w:val="Style20"/>
    <w:basedOn w:val="12"/>
    <w:qFormat/>
    <w:rsid w:val="004c6435"/>
    <w:pPr>
      <w:spacing w:lineRule="exact" w:line="312"/>
      <w:jc w:val="both"/>
    </w:pPr>
    <w:rPr>
      <w:rFonts w:eastAsia="Droid Sans Fallback" w:cs="font277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61362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LibreOffice/7.1.1.2$Windows_X86_64 LibreOffice_project/fe0b08f4af1bacafe4c7ecc87ce55bb426164676</Application>
  <AppVersion>15.0000</AppVersion>
  <Pages>10</Pages>
  <Words>2286</Words>
  <Characters>17187</Characters>
  <CharactersWithSpaces>20069</CharactersWithSpaces>
  <Paragraphs>294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2018-11-13T06:45:00Z</dcterms:created>
  <dc:creator>Елена Николаевна</dc:creator>
  <dc:description/>
  <dc:language>ru-RU</dc:language>
  <cp:lastModifiedBy/>
  <cp:lastPrinted>2019-05-17T15:39:00Z</cp:lastPrinted>
  <dcterms:modified xsi:type="dcterms:W3CDTF">2021-07-07T11:03:02Z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